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8" w:type="dxa"/>
        <w:tblCellSpacing w:w="15" w:type="dxa"/>
        <w:tblInd w:w="-156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  <w:gridCol w:w="1938"/>
      </w:tblGrid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Виды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Цены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hyperlink r:id="rId4" w:history="1">
              <w:r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 xml:space="preserve">Консультация профессора, д.м.н., </w:t>
              </w:r>
              <w:proofErr w:type="spellStart"/>
              <w:r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>зав.кафедрой</w:t>
              </w:r>
              <w:proofErr w:type="spellEnd"/>
              <w:r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 xml:space="preserve"> (первичная)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3500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7B61F0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hyperlink r:id="rId5" w:history="1">
              <w:r w:rsidR="006A1DFB"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 xml:space="preserve">Консультация профессора, д.м.н., </w:t>
              </w:r>
              <w:proofErr w:type="spellStart"/>
              <w:r w:rsidR="006A1DFB"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>зав.кафедрой</w:t>
              </w:r>
              <w:proofErr w:type="spellEnd"/>
              <w:r w:rsidR="006A1DFB" w:rsidRPr="006A1DFB">
                <w:rPr>
                  <w:rFonts w:ascii="Comfortaa" w:eastAsia="Times New Roman" w:hAnsi="Comfortaa" w:cs="Times New Roman"/>
                  <w:color w:val="646464"/>
                  <w:sz w:val="18"/>
                  <w:szCs w:val="18"/>
                  <w:u w:val="single"/>
                  <w:shd w:val="clear" w:color="auto" w:fill="D9E2F3"/>
                  <w:lang w:eastAsia="ru-RU"/>
                </w:rPr>
                <w:t xml:space="preserve"> (повторная)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1990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Консультация невролога, к.м.н., (первичная)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2900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Консультация невролога, к.м.н., (повторная)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1900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Консультация невролога (первичная)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1990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Консультация невролога (повторная)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1490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 xml:space="preserve">Консультация </w:t>
            </w: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1990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 xml:space="preserve">Консультация </w:t>
            </w: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гирудотерапевта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1990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Семейный психолог, психотерапевт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2900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2750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Видео мониторинг ЭЭГ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8200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Электронейромиография</w:t>
            </w:r>
            <w:proofErr w:type="spellEnd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 xml:space="preserve"> (ЭНМГ) с рук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Электронейромиография</w:t>
            </w:r>
            <w:proofErr w:type="spellEnd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 xml:space="preserve"> (ЭНМГ ) с ног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Электронейромиография</w:t>
            </w:r>
            <w:proofErr w:type="spellEnd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 xml:space="preserve"> (ЭНМГ) с 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F-волна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ЭХО-</w:t>
            </w:r>
            <w:proofErr w:type="spellStart"/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энцефалоскапия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Зрительные вызванные потенциалы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Акустические стволовые вызванные потенциалы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Соматосенсорные вызванные потенциалы с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Соматосенсорные вызванные потенциалы с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Когнитивные вызванные потенциалы (Р 300)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Моторные вызванные потенциалы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Электроретинография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3300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ТКДГ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Вихревые магнитные поля 20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Рефлексотерапия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2500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Гирудотерапия (1 сеанс)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2500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Периферические магнитные стимуляции 30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2700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КВЧ+ИК-терапия 1 точка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150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Лазеротерапия 20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Альфа-капсула 20-30 мин.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2200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3000 руб.</w:t>
            </w:r>
          </w:p>
        </w:tc>
      </w:tr>
      <w:tr w:rsidR="006A1DFB" w:rsidRPr="006A1DFB" w:rsidTr="006A1DFB">
        <w:trPr>
          <w:tblCellSpacing w:w="15" w:type="dxa"/>
        </w:trPr>
        <w:tc>
          <w:tcPr>
            <w:tcW w:w="95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lastRenderedPageBreak/>
              <w:t>Рефлексотерапия (точечная лазерная)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1DFB" w:rsidRPr="006A1DFB" w:rsidRDefault="006A1DFB" w:rsidP="006A1DFB">
            <w:pPr>
              <w:spacing w:after="0" w:line="240" w:lineRule="auto"/>
              <w:jc w:val="center"/>
              <w:rPr>
                <w:rFonts w:ascii="Comfortaa" w:eastAsia="Times New Roman" w:hAnsi="Comfortaa" w:cs="Times New Roman"/>
                <w:color w:val="646464"/>
                <w:sz w:val="18"/>
                <w:szCs w:val="18"/>
                <w:lang w:eastAsia="ru-RU"/>
              </w:rPr>
            </w:pPr>
            <w:r w:rsidRPr="006A1DFB">
              <w:rPr>
                <w:rFonts w:ascii="Comfortaa" w:eastAsia="Times New Roman" w:hAnsi="Comfortaa" w:cs="Times New Roman"/>
                <w:color w:val="646464"/>
                <w:sz w:val="18"/>
                <w:szCs w:val="18"/>
                <w:shd w:val="clear" w:color="auto" w:fill="D9E2F3"/>
                <w:lang w:eastAsia="ru-RU"/>
              </w:rPr>
              <w:t>150 руб.</w:t>
            </w:r>
          </w:p>
        </w:tc>
      </w:tr>
    </w:tbl>
    <w:p w:rsidR="007B61F0" w:rsidRPr="007B61F0" w:rsidRDefault="007B61F0" w:rsidP="007B61F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B61F0">
        <w:rPr>
          <w:rFonts w:ascii="Arial" w:eastAsia="Times New Roman" w:hAnsi="Arial" w:cs="Arial"/>
          <w:color w:val="EC483E"/>
          <w:sz w:val="24"/>
          <w:szCs w:val="24"/>
          <w:bdr w:val="none" w:sz="0" w:space="0" w:color="auto" w:frame="1"/>
          <w:lang w:eastAsia="ru-RU"/>
        </w:rPr>
        <w:t>Массаж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Экспресс массаж1500 руб. за 25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массаж2500 руб. за 60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с элементами мануальной терапии3000 руб. за 60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(все проблемные зоны)2900 руб. за 60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массаж2500 руб. за 60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общий массаж от 0 до 3 лет1500 руб. за 20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общий массаж от 3 до 5 лет1500 руб. за 30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общий массаж от 5 до 10 лет1500 руб. за 40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спины1990 руб. за 30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зоны1200 руб. за 20 мин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ног1990 руб. за 30 мин</w:t>
      </w:r>
    </w:p>
    <w:p w:rsidR="007B61F0" w:rsidRPr="007B61F0" w:rsidRDefault="007B61F0" w:rsidP="007B61F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Массаж рук с увлажняющим кремом </w:t>
      </w:r>
      <w:proofErr w:type="spellStart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HudroActive</w:t>
      </w:r>
      <w:proofErr w:type="spellEnd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ARAVIA1200 руб. за 20 мин</w:t>
      </w:r>
    </w:p>
    <w:p w:rsidR="007B61F0" w:rsidRPr="007B61F0" w:rsidRDefault="007B61F0" w:rsidP="007B61F0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УЗИ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</w:t>
      </w:r>
      <w:proofErr w:type="spellEnd"/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почек1600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надпочечников1300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пузыря1300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полости2000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желез1600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железы1000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железы900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железы1700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тканей1000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селезенки1000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лимфатических узлов1000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голеностопного сустава1400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коленного сустава1300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локтевого сустава1300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плечевого сустава1300 руб.</w:t>
      </w:r>
    </w:p>
    <w:p w:rsidR="007B61F0" w:rsidRPr="007B61F0" w:rsidRDefault="007B61F0" w:rsidP="007B61F0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тазобедренного сустава1700 руб.</w:t>
      </w:r>
    </w:p>
    <w:p w:rsidR="007B61F0" w:rsidRPr="007B61F0" w:rsidRDefault="007B61F0" w:rsidP="007B61F0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B61F0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 УЗИ - Забрюшинное пространство (почки + надпочечники)</w:t>
      </w:r>
    </w:p>
    <w:p w:rsidR="00F7292C" w:rsidRDefault="00F7292C">
      <w:bookmarkStart w:id="0" w:name="_GoBack"/>
      <w:bookmarkEnd w:id="0"/>
    </w:p>
    <w:sectPr w:rsidR="00F7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A9"/>
    <w:rsid w:val="00485BA9"/>
    <w:rsid w:val="006A1DFB"/>
    <w:rsid w:val="007B61F0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4225-DB81-4E10-A3CD-EFBE3CC3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DFB"/>
    <w:rPr>
      <w:color w:val="0000FF"/>
      <w:u w:val="single"/>
    </w:rPr>
  </w:style>
  <w:style w:type="character" w:customStyle="1" w:styleId="priceval">
    <w:name w:val="price__val"/>
    <w:basedOn w:val="a0"/>
    <w:rsid w:val="007B61F0"/>
  </w:style>
  <w:style w:type="character" w:customStyle="1" w:styleId="pricecost">
    <w:name w:val="price__cost"/>
    <w:basedOn w:val="a0"/>
    <w:rsid w:val="007B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22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6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3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850841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16598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772518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540602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403595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043696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06078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625316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69806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449122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93269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7203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4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98524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43223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84699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560345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03299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54422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220621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30882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521156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650162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540693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87813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91509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505168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808569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502035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neuro.ru/gimranov-r-f/" TargetMode="External"/><Relationship Id="rId4" Type="http://schemas.openxmlformats.org/officeDocument/2006/relationships/hyperlink" Target="https://newneuro.ru/gimranov-r-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4</cp:revision>
  <dcterms:created xsi:type="dcterms:W3CDTF">2019-06-23T12:50:00Z</dcterms:created>
  <dcterms:modified xsi:type="dcterms:W3CDTF">2019-06-23T12:51:00Z</dcterms:modified>
</cp:coreProperties>
</file>