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D1" w:rsidRDefault="002705D1" w:rsidP="002705D1">
      <w:pPr>
        <w:pStyle w:val="2"/>
        <w:shd w:val="clear" w:color="auto" w:fill="FFFFFF"/>
        <w:spacing w:before="300" w:after="300"/>
        <w:rPr>
          <w:rFonts w:ascii="Arial" w:hAnsi="Arial" w:cs="Arial"/>
          <w:color w:val="337AB7"/>
          <w:sz w:val="45"/>
          <w:szCs w:val="45"/>
        </w:rPr>
      </w:pPr>
      <w:r>
        <w:rPr>
          <w:rFonts w:ascii="Arial" w:hAnsi="Arial" w:cs="Arial"/>
          <w:b/>
          <w:bCs/>
          <w:color w:val="337AB7"/>
          <w:sz w:val="45"/>
          <w:szCs w:val="45"/>
        </w:rPr>
        <w:t>Консультации специалистов</w:t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701"/>
      </w:tblGrid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Цена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невролога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от 3 000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мануального терапевта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от 4 000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врача-гирудотерапевта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рефлексотерапевта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от 2 500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врача-стоматолога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от 1 000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Первичный прием врача ЛФК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3 000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Индивидуальное психологическое консультирование (1 час)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5 000 руб.</w:t>
            </w:r>
          </w:p>
        </w:tc>
      </w:tr>
    </w:tbl>
    <w:p w:rsidR="002705D1" w:rsidRDefault="002705D1" w:rsidP="002705D1">
      <w:pPr>
        <w:pStyle w:val="2"/>
        <w:shd w:val="clear" w:color="auto" w:fill="FFFFFF"/>
        <w:spacing w:before="300" w:after="300"/>
        <w:rPr>
          <w:rFonts w:ascii="Arial" w:hAnsi="Arial" w:cs="Arial"/>
          <w:color w:val="337AB7"/>
          <w:sz w:val="45"/>
          <w:szCs w:val="45"/>
        </w:rPr>
      </w:pPr>
      <w:r>
        <w:rPr>
          <w:rFonts w:ascii="Arial" w:hAnsi="Arial" w:cs="Arial"/>
          <w:b/>
          <w:bCs/>
          <w:color w:val="337AB7"/>
          <w:sz w:val="45"/>
          <w:szCs w:val="45"/>
        </w:rPr>
        <w:t>Неврология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842"/>
      </w:tblGrid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Цена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(первичная) невролога, невролога-эпилептолога, доктора медицинских наук, профессора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8 000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(повторная) невролога, доктора медицинских наук, профессора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6 000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(первичная диагностика) невролога, кандидата медицинских наук/врача высшей категории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4 000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Повторная консультация невролога, кандидата медицинских наук/врача высшей категории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Консультация (первичная диагностика) невролога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3 000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Повторная консультация невролога</w:t>
            </w:r>
          </w:p>
        </w:tc>
        <w:tc>
          <w:tcPr>
            <w:tcW w:w="184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2 000 руб.</w:t>
            </w:r>
          </w:p>
        </w:tc>
      </w:tr>
    </w:tbl>
    <w:p w:rsidR="002705D1" w:rsidRDefault="002705D1" w:rsidP="002705D1">
      <w:pPr>
        <w:pStyle w:val="2"/>
        <w:shd w:val="clear" w:color="auto" w:fill="FFFFFF"/>
        <w:spacing w:before="300" w:after="300"/>
        <w:rPr>
          <w:rFonts w:ascii="Arial" w:hAnsi="Arial" w:cs="Arial"/>
          <w:color w:val="337AB7"/>
          <w:sz w:val="45"/>
          <w:szCs w:val="45"/>
        </w:rPr>
      </w:pPr>
      <w:r>
        <w:rPr>
          <w:rFonts w:ascii="Arial" w:hAnsi="Arial" w:cs="Arial"/>
          <w:b/>
          <w:bCs/>
          <w:color w:val="337AB7"/>
          <w:sz w:val="45"/>
          <w:szCs w:val="45"/>
        </w:rPr>
        <w:t>Мануальная терапия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Цена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мануального терапевта, доктора медицинских наук/профессора (без лечения)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8 000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мануального терапевта, доктора медицинских наук/профессора (повторная)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6 000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(первичная диагностика и составление плана лечения) мануального терапевта, кандидата медицинских наук/врача высшей категории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4 000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Повторная консультация мануального терапевта, кандидата медицинских наук/врача высшей категории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Комплексный сеанс мануальной терапии у ведущего специалиста (кандидата медицинских наук/врача высшей категории), первичный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6 500 руб.</w:t>
            </w:r>
          </w:p>
        </w:tc>
      </w:tr>
    </w:tbl>
    <w:p w:rsidR="002705D1" w:rsidRDefault="002705D1" w:rsidP="002705D1">
      <w:pPr>
        <w:shd w:val="clear" w:color="auto" w:fill="FFFFFF"/>
        <w:rPr>
          <w:rFonts w:ascii="Arial" w:hAnsi="Arial" w:cs="Arial"/>
          <w:vanish/>
          <w:color w:val="222222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984"/>
      </w:tblGrid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Комплексный сеанс мануальной терапии у ведущего специалиста (кандидата медицинских наук/врача высшей категории), повторный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6 000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Консультация (первичная диагностика и составление плана лечения) мануального терапевта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2 500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Повторная консультация мануального терапевта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1 000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Комплексный сеанс мануальной терапии, первичный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4 500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Комплексный сеанс мануальной терапии, повторный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4 000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Миорелаксация ЧЛО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2 000 руб.</w:t>
            </w:r>
          </w:p>
        </w:tc>
      </w:tr>
    </w:tbl>
    <w:p w:rsidR="002705D1" w:rsidRDefault="002705D1" w:rsidP="002705D1">
      <w:pPr>
        <w:pStyle w:val="2"/>
        <w:shd w:val="clear" w:color="auto" w:fill="FFFFFF"/>
        <w:spacing w:before="300" w:after="300"/>
        <w:rPr>
          <w:rFonts w:ascii="Arial" w:hAnsi="Arial" w:cs="Arial"/>
          <w:color w:val="337AB7"/>
          <w:sz w:val="45"/>
          <w:szCs w:val="45"/>
        </w:rPr>
      </w:pPr>
      <w:r>
        <w:rPr>
          <w:rFonts w:ascii="Arial" w:hAnsi="Arial" w:cs="Arial"/>
          <w:b/>
          <w:bCs/>
          <w:color w:val="337AB7"/>
          <w:sz w:val="45"/>
          <w:szCs w:val="45"/>
        </w:rPr>
        <w:lastRenderedPageBreak/>
        <w:t>Гирудотерапия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984"/>
      </w:tblGrid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Цена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врача-гирудотерапевта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Гирудотерапия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3 000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Гирудотерпия в челюстно-лицевой области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5 000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Гирудорефлексотерапия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4 000 руб.</w:t>
            </w:r>
          </w:p>
        </w:tc>
      </w:tr>
    </w:tbl>
    <w:p w:rsidR="002705D1" w:rsidRDefault="002705D1" w:rsidP="002705D1">
      <w:pPr>
        <w:pStyle w:val="2"/>
        <w:shd w:val="clear" w:color="auto" w:fill="FFFFFF"/>
        <w:spacing w:before="300" w:after="300"/>
        <w:rPr>
          <w:rFonts w:ascii="Arial" w:hAnsi="Arial" w:cs="Arial"/>
          <w:color w:val="337AB7"/>
          <w:sz w:val="45"/>
          <w:szCs w:val="45"/>
        </w:rPr>
      </w:pPr>
      <w:r>
        <w:rPr>
          <w:rFonts w:ascii="Arial" w:hAnsi="Arial" w:cs="Arial"/>
          <w:b/>
          <w:bCs/>
          <w:color w:val="337AB7"/>
          <w:sz w:val="45"/>
          <w:szCs w:val="45"/>
        </w:rPr>
        <w:t>Рефлексотерапия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984"/>
      </w:tblGrid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Цена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доктора медицинских наук/профессора (первичная)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8 000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доктора медицинских наук/профессора (повторная)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6 000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(первичная диагностика и составление плана лечения) рефлексотерапевта, кандидата медицинских наук/врача высшей категории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4 000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Повторная консультация рефлексотерапевта, кандидата медицинских наук/врача высшей категории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1 500 руб.</w:t>
            </w:r>
          </w:p>
        </w:tc>
      </w:tr>
      <w:tr w:rsidR="002705D1" w:rsidTr="002705D1">
        <w:tc>
          <w:tcPr>
            <w:tcW w:w="779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Консультация (первичная диагностика и составление плана лечения) рефлексотерапевта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2 500 руб.</w:t>
            </w:r>
          </w:p>
        </w:tc>
      </w:tr>
    </w:tbl>
    <w:p w:rsidR="002705D1" w:rsidRDefault="002705D1" w:rsidP="002705D1">
      <w:pPr>
        <w:shd w:val="clear" w:color="auto" w:fill="FFFFFF"/>
        <w:rPr>
          <w:rFonts w:ascii="Arial" w:hAnsi="Arial" w:cs="Arial"/>
          <w:vanish/>
          <w:color w:val="222222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268"/>
      </w:tblGrid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Повторная консультация рефлексотерапевта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1 000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Акупунктура (иглоукалывание)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5 000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Электроакупунктура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6 000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Лазеропунктура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4 000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Вакуум-рефлексотерапия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Аурикулодиагностика (АД)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Аурикулотерапия (АТ)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2 500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Поверхностная иглотерапия (ПИТ)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Точечный массаж (рефлексотерапия)</w:t>
            </w:r>
          </w:p>
        </w:tc>
        <w:tc>
          <w:tcPr>
            <w:tcW w:w="226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4 000 руб.</w:t>
            </w:r>
          </w:p>
        </w:tc>
      </w:tr>
    </w:tbl>
    <w:p w:rsidR="002705D1" w:rsidRDefault="002705D1" w:rsidP="002705D1">
      <w:pPr>
        <w:pStyle w:val="2"/>
        <w:shd w:val="clear" w:color="auto" w:fill="FFFFFF"/>
        <w:spacing w:before="300" w:after="300"/>
        <w:rPr>
          <w:rFonts w:ascii="Arial" w:hAnsi="Arial" w:cs="Arial"/>
          <w:color w:val="337AB7"/>
          <w:sz w:val="45"/>
          <w:szCs w:val="45"/>
        </w:rPr>
      </w:pPr>
      <w:r>
        <w:rPr>
          <w:rFonts w:ascii="Arial" w:hAnsi="Arial" w:cs="Arial"/>
          <w:b/>
          <w:bCs/>
          <w:color w:val="337AB7"/>
          <w:sz w:val="45"/>
          <w:szCs w:val="45"/>
        </w:rPr>
        <w:t>ЛФК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Цена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Первичный прием врача ЛФК (осмотр, миофасциальная топографическая диагностика, функциональное тестирование)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3 000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Повторный прием врача ЛФК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Обучающее занятие с врачом (1 час) — реедукация двигательного стереотипа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3 000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Обучающее занятие с врачом (1,5 часа) — реедукация двигательного стереотипа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4 500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Обучающее занятие с врачом (2 часа) — реедукация двигательного стереотипа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6 000 руб.</w:t>
            </w:r>
          </w:p>
        </w:tc>
      </w:tr>
    </w:tbl>
    <w:p w:rsidR="002705D1" w:rsidRDefault="002705D1" w:rsidP="002705D1">
      <w:pPr>
        <w:shd w:val="clear" w:color="auto" w:fill="FFFFFF"/>
        <w:rPr>
          <w:rFonts w:ascii="Arial" w:hAnsi="Arial" w:cs="Arial"/>
          <w:vanish/>
          <w:color w:val="222222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09"/>
      </w:tblGrid>
      <w:tr w:rsidR="002705D1" w:rsidTr="002705D1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Лечебная стрейтчинговая гимнастика (индивидуально)</w:t>
            </w:r>
          </w:p>
        </w:tc>
        <w:tc>
          <w:tcPr>
            <w:tcW w:w="24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Лечебная стрейтчинговая гимнастика (групповая)</w:t>
            </w:r>
          </w:p>
        </w:tc>
        <w:tc>
          <w:tcPr>
            <w:tcW w:w="24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1 000 руб.</w:t>
            </w:r>
          </w:p>
        </w:tc>
      </w:tr>
      <w:tr w:rsidR="002705D1" w:rsidTr="002705D1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Разработка индивидуальной программы лечебной гимнастики</w:t>
            </w:r>
          </w:p>
        </w:tc>
        <w:tc>
          <w:tcPr>
            <w:tcW w:w="24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3 000 руб.</w:t>
            </w:r>
          </w:p>
        </w:tc>
      </w:tr>
    </w:tbl>
    <w:p w:rsidR="002705D1" w:rsidRDefault="002705D1" w:rsidP="002705D1">
      <w:pPr>
        <w:pStyle w:val="2"/>
        <w:shd w:val="clear" w:color="auto" w:fill="FFFFFF"/>
        <w:spacing w:before="300" w:after="300"/>
        <w:rPr>
          <w:rFonts w:ascii="Arial" w:hAnsi="Arial" w:cs="Arial"/>
          <w:color w:val="337AB7"/>
          <w:sz w:val="45"/>
          <w:szCs w:val="45"/>
        </w:rPr>
      </w:pPr>
      <w:r>
        <w:rPr>
          <w:rFonts w:ascii="Arial" w:hAnsi="Arial" w:cs="Arial"/>
          <w:b/>
          <w:bCs/>
          <w:color w:val="337AB7"/>
          <w:sz w:val="45"/>
          <w:szCs w:val="45"/>
        </w:rPr>
        <w:t>Инвазивные процедуры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Цена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Забор крови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150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В/м инъекция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200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В/В инъекция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550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Инфузионная терапия (однокомпонентная капельница)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1 500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Инфузионная терапия (двух-трехкомпонентная капельница)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1 800 руб.</w:t>
            </w:r>
          </w:p>
        </w:tc>
      </w:tr>
      <w:tr w:rsidR="002705D1" w:rsidTr="002705D1">
        <w:tc>
          <w:tcPr>
            <w:tcW w:w="708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Инфузионная терапия (более 3-хкомпонентов капельница)</w:t>
            </w:r>
          </w:p>
        </w:tc>
        <w:tc>
          <w:tcPr>
            <w:tcW w:w="255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2 200 руб.</w:t>
            </w:r>
          </w:p>
        </w:tc>
      </w:tr>
    </w:tbl>
    <w:p w:rsidR="002705D1" w:rsidRDefault="002705D1" w:rsidP="002705D1">
      <w:pPr>
        <w:pStyle w:val="2"/>
        <w:shd w:val="clear" w:color="auto" w:fill="FFFFFF"/>
        <w:spacing w:before="300" w:after="300"/>
        <w:rPr>
          <w:rFonts w:ascii="Arial" w:hAnsi="Arial" w:cs="Arial"/>
          <w:color w:val="337AB7"/>
          <w:sz w:val="45"/>
          <w:szCs w:val="45"/>
        </w:rPr>
      </w:pPr>
      <w:r>
        <w:rPr>
          <w:rFonts w:ascii="Arial" w:hAnsi="Arial" w:cs="Arial"/>
          <w:b/>
          <w:bCs/>
          <w:color w:val="337AB7"/>
          <w:sz w:val="45"/>
          <w:szCs w:val="45"/>
        </w:rPr>
        <w:t>Лечебно-медикаментозная блокада</w:t>
      </w:r>
    </w:p>
    <w:tbl>
      <w:tblPr>
        <w:tblW w:w="96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275"/>
      </w:tblGrid>
      <w:tr w:rsidR="002705D1" w:rsidTr="002705D1">
        <w:tc>
          <w:tcPr>
            <w:tcW w:w="5387" w:type="dxa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1C4189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jc w:val="right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Цена</w:t>
            </w:r>
          </w:p>
        </w:tc>
      </w:tr>
      <w:tr w:rsidR="002705D1" w:rsidTr="002705D1">
        <w:tc>
          <w:tcPr>
            <w:tcW w:w="53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Паравертебральная</w:t>
            </w:r>
          </w:p>
        </w:tc>
        <w:tc>
          <w:tcPr>
            <w:tcW w:w="42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2 500 руб.</w:t>
            </w:r>
          </w:p>
        </w:tc>
      </w:tr>
      <w:tr w:rsidR="002705D1" w:rsidTr="002705D1">
        <w:tc>
          <w:tcPr>
            <w:tcW w:w="53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При туннельном синдроме</w:t>
            </w:r>
          </w:p>
        </w:tc>
        <w:tc>
          <w:tcPr>
            <w:tcW w:w="42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53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Пресакральная блокада</w:t>
            </w:r>
          </w:p>
        </w:tc>
        <w:tc>
          <w:tcPr>
            <w:tcW w:w="42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2 000 руб.</w:t>
            </w:r>
          </w:p>
        </w:tc>
      </w:tr>
      <w:tr w:rsidR="002705D1" w:rsidTr="002705D1">
        <w:tc>
          <w:tcPr>
            <w:tcW w:w="53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Инфузионная терапия (более 3-хкомпонентов капельница)</w:t>
            </w:r>
          </w:p>
        </w:tc>
        <w:tc>
          <w:tcPr>
            <w:tcW w:w="42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2 200 руб.</w:t>
            </w:r>
          </w:p>
        </w:tc>
      </w:tr>
      <w:tr w:rsidR="002705D1" w:rsidTr="002705D1">
        <w:tc>
          <w:tcPr>
            <w:tcW w:w="53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Периартикулярная блокада</w:t>
            </w:r>
          </w:p>
        </w:tc>
        <w:tc>
          <w:tcPr>
            <w:tcW w:w="427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</w:rPr>
              <w:t>1 000 руб.</w:t>
            </w:r>
          </w:p>
        </w:tc>
      </w:tr>
    </w:tbl>
    <w:p w:rsidR="002705D1" w:rsidRDefault="002705D1" w:rsidP="002705D1">
      <w:pPr>
        <w:shd w:val="clear" w:color="auto" w:fill="FFFFFF"/>
        <w:rPr>
          <w:rFonts w:ascii="Arial" w:hAnsi="Arial" w:cs="Arial"/>
          <w:vanish/>
          <w:color w:val="222222"/>
        </w:rPr>
      </w:pPr>
    </w:p>
    <w:tbl>
      <w:tblPr>
        <w:tblW w:w="9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275"/>
      </w:tblGrid>
      <w:tr w:rsidR="002705D1" w:rsidTr="002705D1">
        <w:tc>
          <w:tcPr>
            <w:tcW w:w="53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Внутрисуставная (1 сустав)</w:t>
            </w:r>
            <w:bookmarkStart w:id="0" w:name="_GoBack"/>
            <w:bookmarkEnd w:id="0"/>
          </w:p>
        </w:tc>
        <w:tc>
          <w:tcPr>
            <w:tcW w:w="4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4 000 руб.</w:t>
            </w:r>
          </w:p>
        </w:tc>
      </w:tr>
      <w:tr w:rsidR="002705D1" w:rsidTr="002705D1">
        <w:tc>
          <w:tcPr>
            <w:tcW w:w="538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2705D1" w:rsidRDefault="002705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Плечелопаточная зона (1 точка — малая)</w:t>
            </w:r>
          </w:p>
        </w:tc>
        <w:tc>
          <w:tcPr>
            <w:tcW w:w="427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2705D1" w:rsidRDefault="002705D1">
            <w:pPr>
              <w:spacing w:line="270" w:lineRule="atLeast"/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3 000 руб.</w:t>
            </w: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63" w:rsidRDefault="00B22F63" w:rsidP="00FD39B0">
      <w:pPr>
        <w:spacing w:after="0" w:line="240" w:lineRule="auto"/>
      </w:pPr>
      <w:r>
        <w:separator/>
      </w:r>
    </w:p>
  </w:endnote>
  <w:endnote w:type="continuationSeparator" w:id="0">
    <w:p w:rsidR="00B22F63" w:rsidRDefault="00B22F63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63" w:rsidRDefault="00B22F63" w:rsidP="00FD39B0">
      <w:pPr>
        <w:spacing w:after="0" w:line="240" w:lineRule="auto"/>
      </w:pPr>
      <w:r>
        <w:separator/>
      </w:r>
    </w:p>
  </w:footnote>
  <w:footnote w:type="continuationSeparator" w:id="0">
    <w:p w:rsidR="00B22F63" w:rsidRDefault="00B22F63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705D1"/>
    <w:rsid w:val="002A71B2"/>
    <w:rsid w:val="00484F5D"/>
    <w:rsid w:val="004D40A7"/>
    <w:rsid w:val="006C3B08"/>
    <w:rsid w:val="00823672"/>
    <w:rsid w:val="00993794"/>
    <w:rsid w:val="00A669F8"/>
    <w:rsid w:val="00B22F63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20">
    <w:name w:val="Заголовок 2 Знак"/>
    <w:basedOn w:val="a0"/>
    <w:link w:val="2"/>
    <w:uiPriority w:val="9"/>
    <w:semiHidden/>
    <w:rsid w:val="00270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2019-07-13T20:55:00Z</dcterms:created>
  <dcterms:modified xsi:type="dcterms:W3CDTF">2019-07-13T20:55:00Z</dcterms:modified>
</cp:coreProperties>
</file>